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BE" w:rsidRDefault="004601BE">
      <w:pPr>
        <w:pStyle w:val="Puesto"/>
        <w:ind w:firstLine="1873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:rsidR="004601BE" w:rsidRDefault="00073FA5" w:rsidP="004601BE">
      <w:pPr>
        <w:pStyle w:val="Puesto"/>
        <w:ind w:hanging="30"/>
        <w:rPr>
          <w:sz w:val="24"/>
        </w:rPr>
      </w:pPr>
      <w:r>
        <w:t>Becas Ayudantes de Investigación</w:t>
      </w:r>
      <w:r w:rsidR="004601BE">
        <w:t xml:space="preserve"> </w:t>
      </w:r>
      <w:r w:rsidR="004601BE" w:rsidRPr="004601BE">
        <w:rPr>
          <w:sz w:val="24"/>
        </w:rPr>
        <w:t xml:space="preserve">Resolución CD FHCSyS Nº 376/2022 </w:t>
      </w:r>
    </w:p>
    <w:p w:rsidR="004601BE" w:rsidRDefault="00073FA5" w:rsidP="004601BE">
      <w:pPr>
        <w:pStyle w:val="Puesto"/>
        <w:ind w:hanging="30"/>
      </w:pPr>
      <w:proofErr w:type="gramStart"/>
      <w:r>
        <w:t>en</w:t>
      </w:r>
      <w:proofErr w:type="gramEnd"/>
      <w:r>
        <w:t xml:space="preserve"> el marco de la</w:t>
      </w:r>
    </w:p>
    <w:p w:rsidR="00606DA7" w:rsidRDefault="00606DA7">
      <w:pPr>
        <w:pStyle w:val="Puesto"/>
        <w:ind w:firstLine="1873"/>
      </w:pPr>
    </w:p>
    <w:p w:rsidR="00606DA7" w:rsidRDefault="00073FA5">
      <w:pPr>
        <w:spacing w:line="340" w:lineRule="auto"/>
        <w:ind w:left="708" w:right="32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CONVOCATORIA A PROYECTOS INTERNOS DE PROMOCIÓN DE LA INVESTIGACIÓN DE LAS CIENCIAS ECONÓMICAS - 2022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ind w:left="11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BASES DE LA CONVOCATORIA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Consejo de Ciencia y Técnica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CCyT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de la Facultad de Humanidades, Ciencias Sociales y de la Salud (FHCSyS) convoca a los estudiantes de la carreras de contador que reúnan los requisitos establecidos en las bases de esta convocatoria, a postularse a la </w:t>
      </w:r>
      <w:r>
        <w:rPr>
          <w:rFonts w:ascii="Arial" w:eastAsia="Arial" w:hAnsi="Arial" w:cs="Arial"/>
          <w:color w:val="000000"/>
          <w:sz w:val="24"/>
          <w:szCs w:val="24"/>
        </w:rPr>
        <w:t>beca ayudantes de investigación en el marco de los proyectos Internos de Promoción de la Investigación de las Ciencias Económicas - 2022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838" w:right="1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Becas se otorgarán a estudiantes que al momento de cierre de la inscripción al concurso de beca, posea como mínimo el 60% de las materias aprobadas del plan vigente de la Carrera de Contador Público y un promedio general no menor de 6 (seis) puntos,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cluyendo los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aplazos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que reúnan las condiciones para iniciar su formación en la investigación bajo la dirección de un investigador formado, en el marco de un proyecto de investigación aprobado. 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becas están orientadas a posibilitar: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spacing w:line="252" w:lineRule="auto"/>
        <w:ind w:hanging="2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entrenamiento del becario en el campo científico de los proyectos de investigación de las ciencias económicas. 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spacing w:line="252" w:lineRule="auto"/>
        <w:ind w:left="108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ind w:left="1112" w:right="118" w:hanging="2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participación en tareas de investigación en proyectos provenientes de las Convocatoria a Proyectos Internos de Promoción de las Ciencias Económicas aprobados por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CCyT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cuya fecha de finalización sea igual o posterior al período de finalización de 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beca.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spacing w:before="1"/>
        <w:ind w:right="115" w:hanging="2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becas son incompatibles con cualquier ayudantía docente y/o de investigación y mientras dure la misma.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left="720" w:right="1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111" w:hanging="294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El Plan de trabajo de la Beca se debe enmarcar en un proyecto de investigación proveniente de las Convocatoria a Proyectos Internos de Promoción de las Ciencias Económicas, aprobado por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CCyT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que se encuentre en ejecución para asegurar el financiamient</w:t>
      </w:r>
      <w:r>
        <w:rPr>
          <w:rFonts w:ascii="Arial" w:eastAsia="Arial" w:hAnsi="Arial" w:cs="Arial"/>
          <w:color w:val="000000"/>
          <w:sz w:val="24"/>
          <w:szCs w:val="24"/>
        </w:rPr>
        <w:t>o del mismo durante el plazo de duración de la beca. El Director y/o Codirector de la beca, que no necesariamente es el Director/Co director del Proyecto, deberá integrar un equipo de investigación, preferentemente vinculado a las Ciencias Económicas. El P</w:t>
      </w:r>
      <w:r>
        <w:rPr>
          <w:rFonts w:ascii="Arial" w:eastAsia="Arial" w:hAnsi="Arial" w:cs="Arial"/>
          <w:color w:val="000000"/>
          <w:sz w:val="24"/>
          <w:szCs w:val="24"/>
        </w:rPr>
        <w:t>lan de Trabajo debe contener actividades que sean posibles de ejecutar en el marco del proyecto.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ind w:left="838" w:hanging="36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pStyle w:val="Ttulo1"/>
        <w:ind w:firstLine="118"/>
        <w:rPr>
          <w:sz w:val="24"/>
          <w:szCs w:val="24"/>
        </w:rPr>
      </w:pPr>
      <w:r>
        <w:rPr>
          <w:sz w:val="24"/>
          <w:szCs w:val="24"/>
        </w:rPr>
        <w:t>DURACION: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6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becas tendrán una duración de doce (12) meses y una carga horaria máxima de 10 horas semanales.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pStyle w:val="Ttulo1"/>
        <w:ind w:firstLine="118"/>
        <w:rPr>
          <w:sz w:val="24"/>
          <w:szCs w:val="24"/>
        </w:rPr>
      </w:pPr>
      <w:r>
        <w:rPr>
          <w:sz w:val="24"/>
          <w:szCs w:val="24"/>
        </w:rPr>
        <w:t>EVALUACIÓN: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adjudicación de las becas se efectuará de acuerdo al orden de mérito que resulte de la evaluación efectuada por la Comisión de evaluación de becas aprobada por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CCyT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La evaluación se hará a través de una grilla, donde se tendrá en cuenta: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"/>
        <w:ind w:left="838" w:right="11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94" w:line="242" w:lineRule="auto"/>
        <w:ind w:right="114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 Académicos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Comprende el promedio histórico obtenido por el postulante en la carrera y el promedio histórico general de los últimos cinco (5) años de la carrera. Rendimiento y número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aplazos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Puntaje máximo: 70 puntos.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4"/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"/>
        <w:ind w:right="116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 del Postulante</w:t>
      </w:r>
      <w:r>
        <w:rPr>
          <w:rFonts w:ascii="Arial" w:eastAsia="Arial" w:hAnsi="Arial" w:cs="Arial"/>
          <w:color w:val="000000"/>
          <w:sz w:val="24"/>
          <w:szCs w:val="24"/>
        </w:rPr>
        <w:t>: Se consideraran en este ítem los antecedentes en docencia Universitaria en las UUNN, cursos, seminarios, presentaciones a congresos, publicaciones, conocimiento de idiomas, antecedentes en investigación, desempeño en becas ante</w:t>
      </w:r>
      <w:r>
        <w:rPr>
          <w:rFonts w:ascii="Arial" w:eastAsia="Arial" w:hAnsi="Arial" w:cs="Arial"/>
          <w:color w:val="000000"/>
          <w:sz w:val="24"/>
          <w:szCs w:val="24"/>
        </w:rPr>
        <w:t>riores, pasantías, entre otros. Puntaje máximo: 15 puntos.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1"/>
        <w:ind w:hanging="11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114" w:hanging="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Plan de trabajo del Becario y Director</w:t>
      </w:r>
      <w:r>
        <w:rPr>
          <w:rFonts w:ascii="Arial" w:eastAsia="Arial" w:hAnsi="Arial" w:cs="Arial"/>
          <w:color w:val="000000"/>
          <w:sz w:val="24"/>
          <w:szCs w:val="24"/>
        </w:rPr>
        <w:t>: Se consideran las actividades a desarrollar por el becario, la coherencia entre título, objetivos y metodología, factibilidad y  adecuación del cronograma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duración de la beca (10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ptos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y antecedentes del director en relación al plan de trabajo (5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ptos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 Puntaje máximo: 15 puntos.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pStyle w:val="Ttulo1"/>
        <w:ind w:firstLine="118"/>
        <w:rPr>
          <w:sz w:val="24"/>
          <w:szCs w:val="24"/>
        </w:rPr>
      </w:pPr>
      <w:r>
        <w:rPr>
          <w:sz w:val="24"/>
          <w:szCs w:val="24"/>
        </w:rPr>
        <w:t>INSTRUCCIONES: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Una vez completo el Formulario de Inscripción, incluir la siguiente documentación: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8928"/>
        </w:tabs>
        <w:ind w:left="1276" w:right="382" w:hanging="425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Curriculum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Vitae del postulante. (Adjuntar CV de 5 páginas máximo utilizando letra Arial 10 puntos, espaciado simple).</w:t>
      </w:r>
    </w:p>
    <w:p w:rsidR="00606DA7" w:rsidRDefault="00073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before="2" w:line="252" w:lineRule="auto"/>
        <w:ind w:left="1276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Certificado analítico (incluyendo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aplazos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606DA7" w:rsidRDefault="00073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252" w:lineRule="auto"/>
        <w:ind w:left="1276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Resoluciones de ayudantías docentes rentadas (si tuviere).</w:t>
      </w:r>
    </w:p>
    <w:p w:rsidR="00606DA7" w:rsidRDefault="00073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before="1" w:line="252" w:lineRule="auto"/>
        <w:ind w:left="1276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Idioma acreditado (si tuviere).</w:t>
      </w:r>
    </w:p>
    <w:p w:rsidR="00606DA7" w:rsidRDefault="00073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line="252" w:lineRule="auto"/>
        <w:ind w:left="1276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Certificados de Cursos, Seminarios, Talleres (incluya solo hasta 10 comprobantes).</w:t>
      </w:r>
    </w:p>
    <w:p w:rsidR="00606DA7" w:rsidRDefault="00073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left="1276" w:right="1089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Certificados de Presentaciones a eventos científicos como expositores y/o publicaciones con o sin referato (incluya solo 1 com</w:t>
      </w:r>
      <w:r>
        <w:rPr>
          <w:rFonts w:ascii="Arial" w:eastAsia="Arial" w:hAnsi="Arial" w:cs="Arial"/>
          <w:color w:val="000000"/>
          <w:sz w:val="24"/>
          <w:szCs w:val="24"/>
        </w:rPr>
        <w:t>probante, el que considere más importante).</w:t>
      </w:r>
    </w:p>
    <w:p w:rsidR="00606DA7" w:rsidRDefault="00073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spacing w:before="1" w:line="252" w:lineRule="auto"/>
        <w:ind w:left="1276" w:hanging="425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Curriculum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 Director y/o Codirector.</w:t>
      </w:r>
    </w:p>
    <w:p w:rsidR="00606DA7" w:rsidRDefault="00073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left="1276" w:right="602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 de trabajo, adecuado a actividades posibles de realizar en el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proyecto</w:t>
      </w:r>
    </w:p>
    <w:p w:rsidR="00606DA7" w:rsidRDefault="00073F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51"/>
          <w:tab w:val="left" w:pos="993"/>
          <w:tab w:val="left" w:pos="1276"/>
        </w:tabs>
        <w:ind w:left="1276" w:right="128" w:hanging="42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Carta de aceptación del director o director asociado de la beca. Se encuentra al final de este formulario y debe ser firmado por el Director/Codirector de la beca y el Director del proyecto.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pStyle w:val="Ttulo1"/>
        <w:ind w:firstLine="118"/>
        <w:rPr>
          <w:sz w:val="24"/>
          <w:szCs w:val="24"/>
        </w:rPr>
      </w:pPr>
      <w:r>
        <w:rPr>
          <w:sz w:val="24"/>
          <w:szCs w:val="24"/>
        </w:rPr>
        <w:t>PLAZOS DE INSCRIPCIÓN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 convocatoria se extenderá desde el 03 al 14 de Octubre de 2022. Enviar toda la documentación vía email a las Secretaria de Ciencia y Técnica de la Facultad de Humanidades, Ciencias Sociales y de la Salud y completar el Formulario Google.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pStyle w:val="Ttulo1"/>
        <w:ind w:firstLine="118"/>
        <w:rPr>
          <w:b w:val="0"/>
          <w:sz w:val="24"/>
          <w:szCs w:val="24"/>
        </w:rPr>
      </w:pPr>
      <w:r>
        <w:rPr>
          <w:sz w:val="24"/>
          <w:szCs w:val="24"/>
        </w:rPr>
        <w:t>NOTA IMPORTANTE</w:t>
      </w:r>
      <w:r>
        <w:rPr>
          <w:b w:val="0"/>
          <w:sz w:val="24"/>
          <w:szCs w:val="24"/>
        </w:rPr>
        <w:t>:</w:t>
      </w:r>
    </w:p>
    <w:p w:rsidR="00606DA7" w:rsidRDefault="00606D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:rsidR="00606DA7" w:rsidRDefault="00073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1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imprescindible que llene el Formulario de Inscripción y el Formulario Google en todos los puntos que correspondan. </w:t>
      </w:r>
    </w:p>
    <w:p w:rsidR="00606DA7" w:rsidRDefault="00606DA7">
      <w:pPr>
        <w:tabs>
          <w:tab w:val="left" w:pos="827"/>
        </w:tabs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606DA7" w:rsidRDefault="00073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7"/>
        </w:tabs>
        <w:ind w:right="111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En caso de que el postulante no cumpliera con alguno de las condiciones requeridas, quedara desestimad</w:t>
      </w:r>
      <w:r>
        <w:rPr>
          <w:color w:val="000000"/>
        </w:rPr>
        <w:t>a su presentació</w:t>
      </w:r>
      <w:r>
        <w:rPr>
          <w:color w:val="000000"/>
        </w:rPr>
        <w:t>n.</w:t>
      </w:r>
    </w:p>
    <w:sectPr w:rsidR="00606DA7">
      <w:headerReference w:type="default" r:id="rId8"/>
      <w:pgSz w:w="11910" w:h="16840"/>
      <w:pgMar w:top="1660" w:right="1300" w:bottom="280" w:left="1300" w:header="55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A5" w:rsidRDefault="00073FA5">
      <w:r>
        <w:separator/>
      </w:r>
    </w:p>
  </w:endnote>
  <w:endnote w:type="continuationSeparator" w:id="0">
    <w:p w:rsidR="00073FA5" w:rsidRDefault="0007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A5" w:rsidRDefault="00073FA5">
      <w:r>
        <w:separator/>
      </w:r>
    </w:p>
  </w:footnote>
  <w:footnote w:type="continuationSeparator" w:id="0">
    <w:p w:rsidR="00073FA5" w:rsidRDefault="0007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A7" w:rsidRDefault="00073F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left</wp:align>
          </wp:positionH>
          <wp:positionV relativeFrom="page">
            <wp:posOffset>226695</wp:posOffset>
          </wp:positionV>
          <wp:extent cx="1395049" cy="594913"/>
          <wp:effectExtent l="0" t="0" r="0" b="0"/>
          <wp:wrapNone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49" cy="594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      </w:t>
    </w:r>
    <w:r>
      <w:rPr>
        <w:noProof/>
        <w:color w:val="000000"/>
        <w:lang w:val="es-AR"/>
      </w:rPr>
      <w:drawing>
        <wp:inline distT="0" distB="0" distL="0" distR="0">
          <wp:extent cx="1371600" cy="542925"/>
          <wp:effectExtent l="0" t="0" r="0" b="0"/>
          <wp:docPr id="36" name="image2.jpg" descr="Facultad de Humanidades, Ciencias Sociales y de la Salud - Imagen  Institu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acultad de Humanidades, Ciencias Sociales y de la Salud - Imagen  Institucion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37F2"/>
    <w:multiLevelType w:val="multilevel"/>
    <w:tmpl w:val="17685F40"/>
    <w:lvl w:ilvl="0">
      <w:start w:val="1"/>
      <w:numFmt w:val="decimal"/>
      <w:lvlText w:val="%1."/>
      <w:lvlJc w:val="left"/>
      <w:pPr>
        <w:ind w:left="830" w:hanging="30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700" w:hanging="308"/>
      </w:pPr>
    </w:lvl>
    <w:lvl w:ilvl="2">
      <w:numFmt w:val="bullet"/>
      <w:lvlText w:val="•"/>
      <w:lvlJc w:val="left"/>
      <w:pPr>
        <w:ind w:left="2577" w:hanging="308"/>
      </w:pPr>
    </w:lvl>
    <w:lvl w:ilvl="3">
      <w:numFmt w:val="bullet"/>
      <w:lvlText w:val="•"/>
      <w:lvlJc w:val="left"/>
      <w:pPr>
        <w:ind w:left="3453" w:hanging="308"/>
      </w:pPr>
    </w:lvl>
    <w:lvl w:ilvl="4">
      <w:numFmt w:val="bullet"/>
      <w:lvlText w:val="•"/>
      <w:lvlJc w:val="left"/>
      <w:pPr>
        <w:ind w:left="4330" w:hanging="308"/>
      </w:pPr>
    </w:lvl>
    <w:lvl w:ilvl="5">
      <w:numFmt w:val="bullet"/>
      <w:lvlText w:val="•"/>
      <w:lvlJc w:val="left"/>
      <w:pPr>
        <w:ind w:left="5207" w:hanging="308"/>
      </w:pPr>
    </w:lvl>
    <w:lvl w:ilvl="6">
      <w:numFmt w:val="bullet"/>
      <w:lvlText w:val="•"/>
      <w:lvlJc w:val="left"/>
      <w:pPr>
        <w:ind w:left="6083" w:hanging="308"/>
      </w:pPr>
    </w:lvl>
    <w:lvl w:ilvl="7">
      <w:numFmt w:val="bullet"/>
      <w:lvlText w:val="•"/>
      <w:lvlJc w:val="left"/>
      <w:pPr>
        <w:ind w:left="6960" w:hanging="308"/>
      </w:pPr>
    </w:lvl>
    <w:lvl w:ilvl="8">
      <w:numFmt w:val="bullet"/>
      <w:lvlText w:val="•"/>
      <w:lvlJc w:val="left"/>
      <w:pPr>
        <w:ind w:left="7837" w:hanging="307"/>
      </w:pPr>
    </w:lvl>
  </w:abstractNum>
  <w:abstractNum w:abstractNumId="1">
    <w:nsid w:val="4F9F4E20"/>
    <w:multiLevelType w:val="multilevel"/>
    <w:tmpl w:val="D4D0E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FC2121"/>
    <w:multiLevelType w:val="multilevel"/>
    <w:tmpl w:val="6A94303C"/>
    <w:lvl w:ilvl="0">
      <w:numFmt w:val="bullet"/>
      <w:lvlText w:val="▪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)"/>
      <w:lvlJc w:val="left"/>
      <w:pPr>
        <w:ind w:left="1085" w:hanging="259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994" w:hanging="259"/>
      </w:pPr>
    </w:lvl>
    <w:lvl w:ilvl="3">
      <w:numFmt w:val="bullet"/>
      <w:lvlText w:val="•"/>
      <w:lvlJc w:val="left"/>
      <w:pPr>
        <w:ind w:left="2908" w:hanging="258"/>
      </w:pPr>
    </w:lvl>
    <w:lvl w:ilvl="4">
      <w:numFmt w:val="bullet"/>
      <w:lvlText w:val="•"/>
      <w:lvlJc w:val="left"/>
      <w:pPr>
        <w:ind w:left="3822" w:hanging="259"/>
      </w:pPr>
    </w:lvl>
    <w:lvl w:ilvl="5">
      <w:numFmt w:val="bullet"/>
      <w:lvlText w:val="•"/>
      <w:lvlJc w:val="left"/>
      <w:pPr>
        <w:ind w:left="4736" w:hanging="259"/>
      </w:pPr>
    </w:lvl>
    <w:lvl w:ilvl="6">
      <w:numFmt w:val="bullet"/>
      <w:lvlText w:val="•"/>
      <w:lvlJc w:val="left"/>
      <w:pPr>
        <w:ind w:left="5650" w:hanging="259"/>
      </w:pPr>
    </w:lvl>
    <w:lvl w:ilvl="7">
      <w:numFmt w:val="bullet"/>
      <w:lvlText w:val="•"/>
      <w:lvlJc w:val="left"/>
      <w:pPr>
        <w:ind w:left="6564" w:hanging="259"/>
      </w:pPr>
    </w:lvl>
    <w:lvl w:ilvl="8">
      <w:numFmt w:val="bullet"/>
      <w:lvlText w:val="•"/>
      <w:lvlJc w:val="left"/>
      <w:pPr>
        <w:ind w:left="7478" w:hanging="259"/>
      </w:pPr>
    </w:lvl>
  </w:abstractNum>
  <w:abstractNum w:abstractNumId="3">
    <w:nsid w:val="59F44137"/>
    <w:multiLevelType w:val="multilevel"/>
    <w:tmpl w:val="508EC630"/>
    <w:lvl w:ilvl="0">
      <w:start w:val="1"/>
      <w:numFmt w:val="bullet"/>
      <w:lvlText w:val="●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173637"/>
    <w:multiLevelType w:val="multilevel"/>
    <w:tmpl w:val="48A081CC"/>
    <w:lvl w:ilvl="0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)"/>
      <w:lvlJc w:val="left"/>
      <w:pPr>
        <w:ind w:left="1085" w:hanging="259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994" w:hanging="259"/>
      </w:pPr>
    </w:lvl>
    <w:lvl w:ilvl="3">
      <w:numFmt w:val="bullet"/>
      <w:lvlText w:val="•"/>
      <w:lvlJc w:val="left"/>
      <w:pPr>
        <w:ind w:left="2908" w:hanging="258"/>
      </w:pPr>
    </w:lvl>
    <w:lvl w:ilvl="4">
      <w:numFmt w:val="bullet"/>
      <w:lvlText w:val="•"/>
      <w:lvlJc w:val="left"/>
      <w:pPr>
        <w:ind w:left="3822" w:hanging="259"/>
      </w:pPr>
    </w:lvl>
    <w:lvl w:ilvl="5">
      <w:numFmt w:val="bullet"/>
      <w:lvlText w:val="•"/>
      <w:lvlJc w:val="left"/>
      <w:pPr>
        <w:ind w:left="4736" w:hanging="259"/>
      </w:pPr>
    </w:lvl>
    <w:lvl w:ilvl="6">
      <w:numFmt w:val="bullet"/>
      <w:lvlText w:val="•"/>
      <w:lvlJc w:val="left"/>
      <w:pPr>
        <w:ind w:left="5650" w:hanging="259"/>
      </w:pPr>
    </w:lvl>
    <w:lvl w:ilvl="7">
      <w:numFmt w:val="bullet"/>
      <w:lvlText w:val="•"/>
      <w:lvlJc w:val="left"/>
      <w:pPr>
        <w:ind w:left="6564" w:hanging="259"/>
      </w:pPr>
    </w:lvl>
    <w:lvl w:ilvl="8">
      <w:numFmt w:val="bullet"/>
      <w:lvlText w:val="•"/>
      <w:lvlJc w:val="left"/>
      <w:pPr>
        <w:ind w:left="7478" w:hanging="259"/>
      </w:pPr>
    </w:lvl>
  </w:abstractNum>
  <w:abstractNum w:abstractNumId="5">
    <w:nsid w:val="69F406D5"/>
    <w:multiLevelType w:val="multilevel"/>
    <w:tmpl w:val="7C460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313EEB"/>
    <w:multiLevelType w:val="multilevel"/>
    <w:tmpl w:val="0E06420C"/>
    <w:lvl w:ilvl="0">
      <w:start w:val="7"/>
      <w:numFmt w:val="decimal"/>
      <w:lvlText w:val="%1."/>
      <w:lvlJc w:val="left"/>
      <w:pPr>
        <w:ind w:left="546" w:hanging="308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16" w:hanging="308"/>
      </w:pPr>
    </w:lvl>
    <w:lvl w:ilvl="2">
      <w:numFmt w:val="bullet"/>
      <w:lvlText w:val="•"/>
      <w:lvlJc w:val="left"/>
      <w:pPr>
        <w:ind w:left="2293" w:hanging="308"/>
      </w:pPr>
    </w:lvl>
    <w:lvl w:ilvl="3">
      <w:numFmt w:val="bullet"/>
      <w:lvlText w:val="•"/>
      <w:lvlJc w:val="left"/>
      <w:pPr>
        <w:ind w:left="3169" w:hanging="308"/>
      </w:pPr>
    </w:lvl>
    <w:lvl w:ilvl="4">
      <w:numFmt w:val="bullet"/>
      <w:lvlText w:val="•"/>
      <w:lvlJc w:val="left"/>
      <w:pPr>
        <w:ind w:left="4046" w:hanging="308"/>
      </w:pPr>
    </w:lvl>
    <w:lvl w:ilvl="5">
      <w:numFmt w:val="bullet"/>
      <w:lvlText w:val="•"/>
      <w:lvlJc w:val="left"/>
      <w:pPr>
        <w:ind w:left="4923" w:hanging="308"/>
      </w:pPr>
    </w:lvl>
    <w:lvl w:ilvl="6">
      <w:numFmt w:val="bullet"/>
      <w:lvlText w:val="•"/>
      <w:lvlJc w:val="left"/>
      <w:pPr>
        <w:ind w:left="5799" w:hanging="308"/>
      </w:pPr>
    </w:lvl>
    <w:lvl w:ilvl="7">
      <w:numFmt w:val="bullet"/>
      <w:lvlText w:val="•"/>
      <w:lvlJc w:val="left"/>
      <w:pPr>
        <w:ind w:left="6676" w:hanging="307"/>
      </w:pPr>
    </w:lvl>
    <w:lvl w:ilvl="8">
      <w:numFmt w:val="bullet"/>
      <w:lvlText w:val="•"/>
      <w:lvlJc w:val="left"/>
      <w:pPr>
        <w:ind w:left="7553" w:hanging="308"/>
      </w:pPr>
    </w:lvl>
  </w:abstractNum>
  <w:abstractNum w:abstractNumId="7">
    <w:nsid w:val="725A48B2"/>
    <w:multiLevelType w:val="multilevel"/>
    <w:tmpl w:val="46BE3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6A86340"/>
    <w:multiLevelType w:val="multilevel"/>
    <w:tmpl w:val="BE009904"/>
    <w:lvl w:ilvl="0">
      <w:start w:val="1"/>
      <w:numFmt w:val="bullet"/>
      <w:lvlText w:val="●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7"/>
    <w:rsid w:val="00073FA5"/>
    <w:rsid w:val="004601BE"/>
    <w:rsid w:val="006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1907-9935-4C09-9BA2-B25C278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89" w:line="367" w:lineRule="exact"/>
      <w:ind w:left="1873" w:right="1875"/>
      <w:jc w:val="center"/>
    </w:pPr>
    <w:rPr>
      <w:rFonts w:ascii="Arial" w:eastAsia="Arial" w:hAnsi="Arial" w:cs="Arial"/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4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AA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4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AAD"/>
    <w:rPr>
      <w:rFonts w:ascii="Arial MT" w:eastAsia="Arial MT" w:hAnsi="Arial MT" w:cs="Arial MT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2NDNs48R7x3w6EYVuiGuoPLng==">AMUW2mU3Zq3tMyIy1aioddqw+vBASCSmyzCT5erTfr6xeJd5S9LmsA+0+du5bdPeCYdcKqJPJWxtH0PM+5imbJ6lSiA9H5++pUjLRDdXUgnUp+n/f1wiBnQyx+NfydoRfZSnC8CzWi9M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Usuario de Windows</cp:lastModifiedBy>
  <cp:revision>2</cp:revision>
  <dcterms:created xsi:type="dcterms:W3CDTF">2022-09-30T15:53:00Z</dcterms:created>
  <dcterms:modified xsi:type="dcterms:W3CDTF">2022-09-30T15:53:00Z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